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اتفاقية السرية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Non-Disclosure Agreement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EXT-ADM-007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الإدارة والشؤون المؤسسية / Administration and Corporate Affairs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Administration and Corporate Affairs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اتفاقية السرية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Non-Disclosure Agreement within EIEV Smart Solution, supporting controlled operations at the Emirates International Endurance Village.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تنبيه مهم / Important Note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هذا القالب قابل للتعديل ويجب مراجعته قانونياً قبل التوقيع أو الإرسال الخارجي.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This editable template must be legally reviewed before signature or external release.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يتم إدراج بيانات الأطراف والتواريخ والملاحق النهائية قبل الاعتماد.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Insert final party details, dates, and schedules before approval.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الأطراف / Parties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الطرف المفصح</w:t>
              <w:br/>
              <w:t>Disclosing Party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الطرف المستلم</w:t>
              <w:br/>
              <w:t>Receiving Party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الغرض</w:t>
              <w:br/>
              <w:t>Purpose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السريان</w:t>
              <w:br/>
              <w:t>Effective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مدة السرية</w:t>
              <w:br/>
              <w:t>Confidentiality Period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المشروع/الخدمة</w:t>
              <w:br/>
              <w:t>Project/Service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البنود الرئيسية / Key Clauses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تشمل المعلومات السرية جميع البيانات والوثائق والرسومات والأكواد والمخرجات التشغيلية غير العامة.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Confidential information includes all non-public data, documents, drawings, code, and operational outputs.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لا يجوز استخدام المعلومات السرية إلا للغرض المحدد في هذه الاتفاقية.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Confidential information may be used only for the purpose specified in this agreement.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يلتزم الطرف المستلم بإعادة أو إتلاف المعلومات عند الطلب وفق تعليمات الطرف المفصح.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The receiving party shall return or destroy information upon request according to the disclosing party instructions.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تستمر التزامات السرية بعد انتهاء العلاقة طوال المدة المحددة أو وفق ما يتفق عليه الطرفان.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Confidentiality obligations survive the relationship for the specified period or as agreed by the parties.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الملاحق أو نطاق العمل / Schedules or Scope of Work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رقم الملحق</w:t>
              <w:br/>
              <w:t>Schedule No.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الوصف</w:t>
              <w:br/>
              <w:t>Description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المالك</w:t>
              <w:br/>
              <w:t>Owner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تاريخ الإصدار</w:t>
              <w:br/>
              <w:t>Issue Date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الحالة</w:t>
              <w:br/>
              <w:t>Status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EXT-ADM-007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اتفاقية السرية</w:t>
            <w:br/>
            <w:t>Non-Disclosure Agreement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اتفاقية السرية / Non-Disclosure Agreement</dc:title>
  <dc:subject>Bilingual Arabic-English Word template</dc:subject>
  <dc:creator>EIEV Smart Solution</dc:creator>
  <cp:keywords>EXT-ADM-007,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