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سجل السجل التجاري والرخصة المهنية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Commercial Registration and Professional License Register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EXT-ADM-002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الإدارة والشؤون المؤسسية / 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سجل السجل التجاري والرخصة المهنية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Commercial Registration and Professional License Register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الإدارة والشؤون المؤسسية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Administration and Corporate Affairs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قواعد إدارة السجل / Register Management Rules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يتم تحديث السجل فور حدوث التغيير أو استلام مستند جديد.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Update the register immediately after any change or after receiving a new document.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يجب أن تكون كل خانة مدعومة برقم مرجعي أو مرفق عند الحاجة.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Each entry should be supported by a reference number or attachment when required.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تتم مراجعة السجل دورياً من مالك الوثيقة للتأكد من الدقة والاكتمال.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The document owner reviews the register periodically for accuracy and completeness.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السجل / Register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الشركة القانوني</w:t>
              <w:br/>
              <w:t>Legal Company 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رقم السجل التجاري</w:t>
              <w:br/>
              <w:t>Commercial Registration 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رقم الرخصة المهنية</w:t>
              <w:br/>
              <w:t>Professional License 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جهة الإصدار</w:t>
              <w:br/>
              <w:t>Issuing Authority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مكان حفظ النسخ</w:t>
              <w:br/>
              <w:t>Copy Storage Location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المسؤول عن التجديد</w:t>
              <w:br/>
              <w:t>Renewal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الوثائق الرسمية / Official Document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90"/>
        <w:gridCol w:w="1490"/>
        <w:gridCol w:w="1490"/>
        <w:gridCol w:w="1490"/>
        <w:gridCol w:w="1490"/>
        <w:gridCol w:w="1490"/>
        <w:gridCol w:w="1490"/>
      </w:tblGrid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نوع الوثيقة</w:t>
              <w:br/>
              <w:t>Document Type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رقم الوثيقة</w:t>
              <w:br/>
              <w:t>Document No.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جهة الإصدار</w:t>
              <w:br/>
              <w:t>Issuing Authority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تاريخ الإصدار</w:t>
              <w:br/>
              <w:t>Issue Date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تاريخ الانتهاء</w:t>
              <w:br/>
              <w:t>Expiry Date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رابط/مكان النسخة</w:t>
              <w:br/>
              <w:t>Copy Link/Location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الحالة</w:t>
              <w:br/>
              <w:t>Status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EXT-ADM-002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سجل السجل التجاري والرخصة المهنية</w:t>
            <w:br/>
            <w:t>Commercial Registration and Professional License Register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السجل التجاري والرخصة المهنية / Commercial Registration and Professional License Register</dc:title>
  <dc:subject>Bilingual Arabic-English Word template</dc:subject>
  <dc:creator>EIEV Smart Solution</dc:creator>
  <cp:keywords>EXT-ADM-002,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